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Cs w:val="28"/>
        </w:rPr>
      </w:pPr>
      <w:r>
        <w:rPr>
          <w:b/>
          <w:szCs w:val="28"/>
        </w:rPr>
        <w:t xml:space="preserve">ИЗВЕЩЕНИЕ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закупки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право заключения договора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>
        <w:tblPrEx/>
        <w:trPr/>
        <w:tc>
          <w:tcPr>
            <w:shd w:val="clear" w:color="auto" w:fill="auto"/>
            <w:tcW w:w="347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224928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347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«30</w:t>
            </w:r>
            <w:r>
              <w:rPr>
                <w:sz w:val="24"/>
                <w:szCs w:val="24"/>
              </w:rPr>
              <w:t xml:space="preserve">» апреля </w:t>
            </w:r>
            <w:r>
              <w:rPr>
                <w:sz w:val="24"/>
                <w:szCs w:val="24"/>
              </w:rPr>
              <w:t xml:space="preserve">2026 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outlineLvl w:val="0"/>
      </w:pPr>
      <w:r>
        <w:t xml:space="preserve">Способ закупки: О</w:t>
      </w:r>
      <w:r>
        <w:t xml:space="preserve">ткрытый конкурс (ЭТП)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Style w:val="1073"/>
          <w:color w:val="auto"/>
          <w:sz w:val="24"/>
          <w:szCs w:val="24"/>
        </w:rPr>
        <w:outlineLvl w:val="0"/>
      </w:pPr>
      <w:r>
        <w:rPr>
          <w:rStyle w:val="1073"/>
          <w:color w:val="auto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r/>
      <w:bookmarkStart w:id="1" w:name="_Toc422226770"/>
      <w:r/>
      <w:bookmarkStart w:id="2" w:name="_Toc422244122"/>
      <w:r>
        <w:t xml:space="preserve">Положение о порядке проведения регламентированных закупок товаров, работ, услуг для нужд </w:t>
      </w:r>
      <w:r>
        <w:rPr>
          <w:rFonts w:ascii="Liberation Serif" w:hAnsi="Liberation Serif" w:cs="Liberation Serif"/>
        </w:rPr>
        <w:t xml:space="preserve">ООО «</w:t>
      </w:r>
      <w:r>
        <w:rPr>
          <w:rFonts w:ascii="Liberation Serif" w:hAnsi="Liberation Serif" w:cs="Liberation Serif"/>
        </w:rPr>
        <w:t xml:space="preserve">ПетроЭнергоКонтроль</w:t>
      </w:r>
      <w:r>
        <w:rPr>
          <w:rFonts w:ascii="Liberation Serif" w:hAnsi="Liberation Serif" w:cs="Liberation Serif"/>
        </w:rPr>
        <w:t xml:space="preserve">»</w:t>
      </w:r>
      <w:r/>
      <w:r/>
      <w:r>
        <w:t xml:space="preserve">, утвержденное решением Совета директоров (далее - Положение о закупках).</w:t>
      </w:r>
      <w:bookmarkEnd w:id="0"/>
      <w:r/>
      <w:bookmarkEnd w:id="1"/>
      <w:r/>
      <w:bookmarkEnd w:id="2"/>
      <w:r>
        <w:rPr>
          <w:rStyle w:val="1073"/>
          <w:color w:val="auto"/>
          <w:sz w:val="24"/>
          <w:szCs w:val="24"/>
        </w:rPr>
      </w:r>
      <w:r>
        <w:rPr>
          <w:rStyle w:val="1073"/>
          <w:color w:val="auto"/>
          <w:sz w:val="24"/>
          <w:szCs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000000" w:themeColor="text1"/>
        </w:rPr>
        <w:outlineLvl w:val="0"/>
      </w:pPr>
      <w:r>
        <w:rPr>
          <w:color w:val="000000" w:themeColor="text1"/>
        </w:rPr>
        <w:t xml:space="preserve">Информационное обеспечение проведения закупки: Интернет-сайт: </w:t>
      </w:r>
      <w:hyperlink r:id="rId16" w:tooltip="http://www.zakupki.gov.ru" w:history="1">
        <w:r>
          <w:rPr>
            <w:rStyle w:val="1034"/>
            <w:color w:val="000000" w:themeColor="text1"/>
          </w:rPr>
          <w:t xml:space="preserve">www.zakupki.gov.ru</w:t>
        </w:r>
      </w:hyperlink>
      <w:r>
        <w:rPr>
          <w:color w:val="000000" w:themeColor="text1"/>
        </w:rPr>
        <w:t xml:space="preserve">, Электронная торговая площадка: </w:t>
      </w:r>
      <w:hyperlink r:id="rId17" w:tooltip="http://www.tektorg.ru" w:history="1">
        <w:r>
          <w:rPr>
            <w:rStyle w:val="1034"/>
            <w:color w:val="000000" w:themeColor="text1"/>
          </w:rPr>
          <w:t xml:space="preserve">www.tektorg.ru</w:t>
        </w:r>
      </w:hyperlink>
      <w:r>
        <w:rPr>
          <w:color w:val="000000" w:themeColor="text1"/>
          <w:u w:val="single"/>
        </w:rPr>
        <w:t xml:space="preserve">,</w:t>
      </w:r>
      <w:r>
        <w:rPr>
          <w:color w:val="000000" w:themeColor="text1"/>
          <w:u w:val="none"/>
        </w:rPr>
        <w:t xml:space="preserve"> </w:t>
      </w:r>
      <w:r>
        <w:rPr>
          <w:color w:val="000000" w:themeColor="text1"/>
        </w:rPr>
        <w:t xml:space="preserve">а также на сайте организатора закупки </w:t>
      </w:r>
      <w:hyperlink r:id="rId18" w:tooltip="http://www.interrao-zakupki.ru" w:history="1">
        <w:r>
          <w:rPr>
            <w:rStyle w:val="1034"/>
            <w:color w:val="000000" w:themeColor="text1"/>
          </w:rPr>
          <w:t xml:space="preserve">www.interrao-zakupki.ru</w:t>
        </w:r>
      </w:hyperlink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</w:rPr>
        <w:t xml:space="preserve">Отмена закупки: </w:t>
      </w:r>
      <w:r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</w:t>
      </w:r>
      <w:r>
        <w:rPr>
          <w:color w:val="000000"/>
        </w:rPr>
        <w:t xml:space="preserve">ки размещается организатором закупки в день принятия решения.</w:t>
      </w:r>
      <w:r>
        <w:rPr>
          <w:rStyle w:val="1073"/>
          <w:sz w:val="24"/>
          <w:szCs w:val="24"/>
        </w:rPr>
        <w:t xml:space="preserve"> По истечении срока отмены конкурентной закупки и до заключения договора организатор закупки/заказчик вправе</w:t>
      </w:r>
      <w:r>
        <w:rPr>
          <w:szCs w:val="28"/>
        </w:rPr>
        <w:t xml:space="preserve"> отменить определение поставщика (исполнителя, подрядчика) только в случае возникновени</w:t>
      </w:r>
      <w:r>
        <w:rPr>
          <w:szCs w:val="28"/>
        </w:rPr>
        <w:t xml:space="preserve">я обстоятельств непреодолимой силы в соответствии с гражданским законодательством.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Наименование Заказчика:</w:t>
      </w:r>
      <w:r>
        <w:t xml:space="preserve"> </w:t>
      </w:r>
      <w:r>
        <w:rPr>
          <w:rFonts w:ascii="Liberation Serif" w:hAnsi="Liberation Serif" w:cs="Liberation Serif"/>
        </w:rPr>
        <w:t xml:space="preserve">ООО «</w:t>
      </w:r>
      <w:r>
        <w:rPr>
          <w:rFonts w:ascii="Liberation Serif" w:hAnsi="Liberation Serif" w:cs="Liberation Serif"/>
        </w:rPr>
        <w:t xml:space="preserve">ПетроЭнергоКонтроль</w:t>
      </w:r>
      <w:r>
        <w:rPr>
          <w:rFonts w:ascii="Liberation Serif" w:hAnsi="Liberation Serif" w:cs="Liberation Serif"/>
        </w:rPr>
        <w:t xml:space="preserve">»</w:t>
      </w:r>
      <w:r/>
      <w:r/>
      <w:r/>
      <w:r/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есто нахождения: </w:t>
      </w:r>
      <w:r>
        <w:rPr>
          <w:sz w:val="24"/>
          <w:szCs w:val="24"/>
        </w:rPr>
        <w:t xml:space="preserve">195009, г. Санкт-Петербург, ул. Арсенальная, дом 1, кор. 2, лит. А, пом. 1Н-138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 xml:space="preserve">195009, г. Санкт-Петербург, ул. Арсенальная, д. 1, кор. 2, лит. А, пом. 1Н-138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Контактный телефон: </w:t>
      </w:r>
      <w:r>
        <w:rPr>
          <w:sz w:val="24"/>
          <w:szCs w:val="24"/>
        </w:rPr>
        <w:t xml:space="preserve">+7 (812) 610-57-01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0"/>
        </w:rPr>
        <w:t xml:space="preserve">Адрес электронно</w:t>
      </w:r>
      <w:r>
        <w:rPr>
          <w:sz w:val="24"/>
          <w:szCs w:val="20"/>
        </w:rPr>
        <w:t xml:space="preserve">й </w:t>
      </w:r>
      <w:r>
        <w:rPr>
          <w:sz w:val="24"/>
          <w:szCs w:val="20"/>
        </w:rPr>
        <w:t xml:space="preserve">почты: </w:t>
      </w:r>
      <w:r>
        <w:rPr>
          <w:sz w:val="24"/>
        </w:rPr>
        <w:t xml:space="preserve"> o</w:t>
      </w:r>
      <w:r>
        <w:rPr>
          <w:sz w:val="24"/>
          <w:lang w:val="en-US"/>
        </w:rPr>
      </w:r>
      <w:r>
        <w:rPr>
          <w:sz w:val="24"/>
          <w:lang w:val="en-US"/>
        </w:rPr>
        <w:t xml:space="preserve">ffice@pec.org.ru</w:t>
      </w:r>
      <w:r>
        <w:rPr>
          <w:sz w:val="24"/>
          <w:lang w:val="en-US"/>
        </w:rPr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Наименование Организатора закупки:</w:t>
      </w:r>
      <w:r>
        <w:t xml:space="preserve"> </w:t>
      </w:r>
      <w:r>
        <w:t xml:space="preserve">ООО</w:t>
      </w:r>
      <w:r>
        <w:t xml:space="preserve"> «Интер РАО – Центр управления закупками»</w:t>
      </w:r>
      <w:r/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есто нахождения:1</w:t>
      </w:r>
      <w:r>
        <w:rPr>
          <w:sz w:val="24"/>
          <w:szCs w:val="24"/>
        </w:rPr>
        <w:t xml:space="preserve">19435, Россия, г. Москва, ул. Большая </w:t>
      </w:r>
      <w:r>
        <w:rPr>
          <w:sz w:val="24"/>
          <w:szCs w:val="24"/>
        </w:rPr>
        <w:t xml:space="preserve">Пироговская</w:t>
      </w:r>
      <w:r>
        <w:rPr>
          <w:sz w:val="24"/>
          <w:szCs w:val="24"/>
        </w:rPr>
        <w:t xml:space="preserve">, д. 27, стр. 3.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Почтовый адрес: 119435, Россия, г. Москва, ул. Большая </w:t>
      </w:r>
      <w:r>
        <w:rPr>
          <w:sz w:val="24"/>
          <w:szCs w:val="24"/>
        </w:rPr>
        <w:t xml:space="preserve">Пироговская</w:t>
      </w:r>
      <w:r>
        <w:rPr>
          <w:sz w:val="24"/>
          <w:szCs w:val="24"/>
        </w:rPr>
        <w:t xml:space="preserve">, д. 27, стр. 3.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Контактное лицо: </w:t>
      </w:r>
      <w:r>
        <w:rPr>
          <w:sz w:val="24"/>
          <w:szCs w:val="24"/>
        </w:rPr>
        <w:t xml:space="preserve">Сгибнев Егор Олегович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85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Контактный телефон: +7 (495) 664 8840 доб. </w:t>
      </w:r>
      <w:r>
        <w:rPr>
          <w:sz w:val="24"/>
          <w:szCs w:val="24"/>
        </w:rPr>
        <w:t xml:space="preserve">3513</w:t>
      </w:r>
      <w:r>
        <w:rPr>
          <w:sz w:val="24"/>
          <w:szCs w:val="24"/>
        </w:rPr>
      </w:r>
    </w:p>
    <w:p>
      <w:pPr>
        <w:pStyle w:val="1062"/>
        <w:ind w:firstLine="851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  <w:szCs w:val="20"/>
        </w:rPr>
        <w:t xml:space="preserve">Адрес электронно</w:t>
      </w:r>
      <w:r>
        <w:rPr>
          <w:sz w:val="24"/>
          <w:szCs w:val="20"/>
        </w:rPr>
        <w:t xml:space="preserve">й </w:t>
      </w:r>
      <w:r>
        <w:rPr>
          <w:sz w:val="24"/>
          <w:szCs w:val="20"/>
        </w:rPr>
        <w:t xml:space="preserve">почты: </w:t>
      </w:r>
      <w:r>
        <w:rPr>
          <w:sz w:val="24"/>
        </w:rPr>
        <w:t xml:space="preserve"> </w:t>
      </w:r>
      <w:r>
        <w:rPr>
          <w:sz w:val="24"/>
          <w:lang w:val="en-US"/>
        </w:rPr>
      </w:r>
      <w:r>
        <w:rPr>
          <w:sz w:val="24"/>
          <w:lang w:val="en-US"/>
        </w:rPr>
        <w:t xml:space="preserve">sgibnev_eo@interrao.ru</w:t>
      </w:r>
      <w:r>
        <w:rPr>
          <w:sz w:val="24"/>
          <w:lang w:val="en-US"/>
        </w:rPr>
      </w:r>
      <w:r>
        <w:rPr>
          <w:sz w:val="24"/>
        </w:rPr>
      </w:r>
      <w:r>
        <w:rPr>
          <w:sz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Предмет закупки: право заключения договора. </w:t>
      </w:r>
      <w:r/>
    </w:p>
    <w:p>
      <w:pPr>
        <w:pStyle w:val="1075"/>
        <w:numPr>
          <w:ilvl w:val="1"/>
          <w:numId w:val="12"/>
        </w:numPr>
        <w:ind w:left="0" w:firstLine="709"/>
        <w:jc w:val="both"/>
        <w:spacing w:before="60" w:after="60"/>
        <w:outlineLvl w:val="0"/>
      </w:pPr>
      <w:r>
        <w:t xml:space="preserve">Краткое описание предмета закупки</w:t>
      </w:r>
      <w:r>
        <w:t xml:space="preserve">: В соответствии с</w:t>
      </w:r>
      <w:r>
        <w:t xml:space="preserve"> разделом 6 «Техническая часть» Закупочной документации.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/>
          <w:bCs/>
        </w:rPr>
        <w:outlineLvl w:val="0"/>
      </w:pPr>
      <w:r>
        <w:t xml:space="preserve">Предмет договора: </w:t>
      </w:r>
      <w:r>
        <w:rPr>
          <w:b/>
          <w:bCs/>
          <w:i/>
          <w:iCs/>
        </w:rPr>
        <w:t xml:space="preserve">Поставка телефонов стационарных</w:t>
      </w:r>
      <w:r>
        <w:rPr>
          <w:b/>
          <w:bCs/>
          <w:i/>
          <w:iCs/>
        </w:rPr>
      </w:r>
      <w:r>
        <w:rPr>
          <w:b/>
          <w:bCs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Объем поставляемых товаров: в соответствии с разделом 6 «Техническая часть» Закупочной документации.</w:t>
      </w:r>
      <w:r/>
    </w:p>
    <w:p>
      <w:pPr>
        <w:pStyle w:val="1062"/>
        <w:ind w:firstLine="709"/>
        <w:spacing w:before="0" w:line="240" w:lineRule="auto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Подробное описание и требования к закупаемому товару, а также у</w:t>
      </w:r>
      <w:r>
        <w:rPr>
          <w:sz w:val="24"/>
        </w:rPr>
        <w:t xml:space="preserve">словия договора содержатся в Закупочной документации, которая является неотъемлемой частью Извещения о проведении закупки.</w:t>
      </w:r>
      <w:r>
        <w:rPr>
          <w:sz w:val="24"/>
        </w:rPr>
      </w:r>
      <w:r>
        <w:rPr>
          <w:sz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73"/>
          <w:sz w:val="24"/>
          <w:szCs w:val="24"/>
        </w:rPr>
        <w:outlineLvl w:val="0"/>
      </w:pPr>
      <w:r>
        <w:rPr>
          <w:rStyle w:val="1073"/>
          <w:sz w:val="24"/>
          <w:szCs w:val="24"/>
        </w:rPr>
        <w:t xml:space="preserve">Сроки поставки товара, выполнения работ, оказания услуг: в соответствии с разделом 6 «Техническая часть» Закупочной документации.</w:t>
      </w:r>
      <w:r>
        <w:rPr>
          <w:rStyle w:val="1073"/>
          <w:sz w:val="24"/>
          <w:szCs w:val="24"/>
        </w:rPr>
      </w:r>
      <w:r>
        <w:rPr>
          <w:rStyle w:val="1073"/>
          <w:sz w:val="24"/>
          <w:szCs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Мес</w:t>
      </w:r>
      <w:r>
        <w:t xml:space="preserve">то оказания услуг: в соответствии с разделом 6 «Техническая часть» Закупочной документации.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/>
        </w:rPr>
        <w:outlineLvl w:val="0"/>
      </w:pPr>
      <w:r>
        <w:rPr>
          <w:rStyle w:val="1073"/>
          <w:sz w:val="24"/>
          <w:szCs w:val="24"/>
        </w:rPr>
        <w:t xml:space="preserve">Сведения о начальной (максимальной) цене договора (лота):</w:t>
      </w:r>
      <w:r>
        <w:rPr>
          <w:b/>
          <w:bCs/>
        </w:rPr>
        <w:t xml:space="preserve"> </w:t>
      </w:r>
      <w:r>
        <w:rPr>
          <w:b/>
          <w:bCs/>
        </w:rPr>
        <w:t xml:space="preserve">353 143,31</w:t>
      </w:r>
      <w:r>
        <w:rPr>
          <w:b/>
          <w:bCs/>
        </w:rPr>
      </w:r>
      <w:r>
        <w:rPr>
          <w:b/>
          <w:bCs/>
        </w:rPr>
        <w:t xml:space="preserve"> </w:t>
      </w:r>
      <w:r>
        <w:rPr>
          <w:b/>
        </w:rPr>
        <w:t xml:space="preserve">руб. без НДС</w:t>
      </w:r>
      <w:r>
        <w:rPr>
          <w:b/>
        </w:rPr>
      </w:r>
      <w:r>
        <w:rPr>
          <w:b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Обеспечение исполнения обязательств, связанных с подачей заявки на участие в зак</w:t>
      </w:r>
      <w:r>
        <w:t xml:space="preserve">упке</w:t>
      </w:r>
      <w:r>
        <w:t xml:space="preserve">:</w:t>
      </w:r>
      <w:r>
        <w:t xml:space="preserve"> </w:t>
      </w:r>
      <w:r>
        <w:rPr>
          <w:i/>
        </w:rPr>
        <w:t xml:space="preserve">не требуется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73"/>
          <w:color w:val="auto"/>
          <w:sz w:val="24"/>
          <w:szCs w:val="24"/>
        </w:rPr>
        <w:outlineLvl w:val="0"/>
      </w:pPr>
      <w:r>
        <w:rPr>
          <w:rStyle w:val="1073"/>
          <w:color w:val="auto"/>
          <w:sz w:val="24"/>
          <w:szCs w:val="24"/>
        </w:rPr>
        <w:t xml:space="preserve">Требования, предъявляемые к участникам закупки: в соответствии с требованиями, установленными в Закупочной документации.</w:t>
      </w:r>
      <w:r>
        <w:rPr>
          <w:rStyle w:val="1073"/>
          <w:color w:val="auto"/>
          <w:sz w:val="24"/>
          <w:szCs w:val="24"/>
        </w:rPr>
      </w:r>
      <w:r>
        <w:rPr>
          <w:rStyle w:val="1073"/>
          <w:color w:val="auto"/>
          <w:sz w:val="24"/>
          <w:szCs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i/>
        </w:rPr>
        <w:outlineLvl w:val="0"/>
      </w:pPr>
      <w:r>
        <w:rPr>
          <w:rStyle w:val="1073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>
        <w:rPr>
          <w:i/>
        </w:rPr>
        <w:t xml:space="preserve">в соответствии с раздело</w:t>
      </w:r>
      <w:r>
        <w:rPr>
          <w:i/>
        </w:rPr>
        <w:t xml:space="preserve">м 6 «Техническая часть» Закупочной документации </w:t>
      </w:r>
      <w:r>
        <w:rPr>
          <w:i/>
        </w:rPr>
      </w:r>
      <w:r>
        <w:rPr>
          <w:i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</w:rPr>
        <w:t xml:space="preserve">Возможность проведения переторжки: </w:t>
      </w:r>
      <w:r>
        <w:rPr>
          <w:b/>
          <w:bCs/>
        </w:rPr>
        <w:t xml:space="preserve">невозможно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73"/>
          <w:color w:val="auto"/>
          <w:sz w:val="24"/>
          <w:szCs w:val="24"/>
        </w:rPr>
        <w:outlineLvl w:val="0"/>
      </w:pPr>
      <w:r>
        <w:rPr>
          <w:rStyle w:val="1073"/>
          <w:color w:val="auto"/>
          <w:sz w:val="24"/>
          <w:szCs w:val="24"/>
        </w:rPr>
        <w:t xml:space="preserve">Сведения о предоставлении преференций: </w:t>
      </w:r>
      <w:r>
        <w:t xml:space="preserve">предоставляются </w:t>
      </w:r>
      <w: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>
        <w:rPr>
          <w:rStyle w:val="1073"/>
          <w:color w:val="auto"/>
          <w:sz w:val="24"/>
          <w:szCs w:val="24"/>
        </w:rPr>
      </w:r>
      <w:r>
        <w:rPr>
          <w:rStyle w:val="1073"/>
          <w:color w:val="auto"/>
          <w:sz w:val="24"/>
          <w:szCs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Срок, мес</w:t>
      </w:r>
      <w:r>
        <w:t xml:space="preserve">то и порядок предоставления Закупочной документации:</w:t>
      </w:r>
      <w:r/>
    </w:p>
    <w:p>
      <w:pPr>
        <w:pStyle w:val="1062"/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  <w:r>
        <w:rPr>
          <w:sz w:val="24"/>
        </w:rPr>
      </w:r>
      <w:r>
        <w:rPr>
          <w:sz w:val="24"/>
        </w:rPr>
      </w:r>
    </w:p>
    <w:p>
      <w:pPr>
        <w:pStyle w:val="1062"/>
        <w:ind w:firstLine="709"/>
        <w:spacing w:before="0" w:line="240" w:lineRule="auto"/>
        <w:rPr>
          <w:sz w:val="24"/>
        </w:rPr>
      </w:pPr>
      <w:r/>
      <w:bookmarkStart w:id="3" w:name="_Ref316300967"/>
      <w:r>
        <w:rPr>
          <w:sz w:val="24"/>
        </w:rPr>
        <w:t xml:space="preserve">Закупочная документация п</w:t>
      </w:r>
      <w:r>
        <w:rPr>
          <w:sz w:val="24"/>
        </w:rPr>
        <w:t xml:space="preserve">редоставляется лицу через функционал электронной торговой площадки.</w:t>
      </w:r>
      <w:bookmarkEnd w:id="3"/>
      <w:r>
        <w:rPr>
          <w:sz w:val="24"/>
        </w:rPr>
      </w:r>
      <w:r>
        <w:rPr>
          <w:sz w:val="24"/>
        </w:rPr>
      </w:r>
    </w:p>
    <w:p>
      <w:pPr>
        <w:pStyle w:val="1062"/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Плата за предоставление Закупочной документации не взимается.</w:t>
      </w:r>
      <w:r>
        <w:rPr>
          <w:sz w:val="24"/>
        </w:rPr>
      </w:r>
      <w:r>
        <w:rPr>
          <w:sz w:val="24"/>
        </w:rPr>
      </w:r>
    </w:p>
    <w:p>
      <w:pPr>
        <w:pStyle w:val="1062"/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Закупочная документация предоставляется в течение срока, определенного регламентами работы электронной торговой площадки.</w:t>
      </w:r>
      <w:r>
        <w:rPr>
          <w:sz w:val="24"/>
        </w:rPr>
      </w:r>
      <w:r>
        <w:rPr>
          <w:sz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4" w:name="_Hlk146803851"/>
      <w:r>
        <w:t xml:space="preserve">Дата</w:t>
      </w:r>
      <w:r>
        <w:t xml:space="preserve"> начала предоставления разъяснений Закупочной документации: с даты публикации Извещения.</w:t>
      </w:r>
      <w:r/>
    </w:p>
    <w:p>
      <w:pPr>
        <w:pStyle w:val="1075"/>
        <w:contextualSpacing w:val="0"/>
        <w:ind w:left="0" w:firstLine="709"/>
        <w:jc w:val="both"/>
        <w:spacing w:before="60" w:after="60"/>
        <w:rPr>
          <w:color w:val="548dd4"/>
        </w:rPr>
      </w:pPr>
      <w:r>
        <w:rPr>
          <w:iCs/>
        </w:rPr>
        <w:t xml:space="preserve">Дата окончания срока предоставления разъяснений Закупочной документации:</w:t>
      </w:r>
      <w:r>
        <w:rPr>
          <w:i/>
          <w:color w:val="548dd4"/>
        </w:rPr>
        <w:t xml:space="preserve"> </w:t>
      </w:r>
      <w:r>
        <w:rPr>
          <w:bCs/>
          <w:iCs/>
        </w:rPr>
        <w:t xml:space="preserve">за 3 рабочих дня до окончания срока подачи предложений.</w:t>
      </w:r>
      <w:r>
        <w:rPr>
          <w:color w:val="548dd4"/>
        </w:rPr>
      </w:r>
      <w:r>
        <w:rPr>
          <w:color w:val="548dd4"/>
        </w:rPr>
      </w:r>
    </w:p>
    <w:p>
      <w:pPr>
        <w:pStyle w:val="1075"/>
        <w:contextualSpacing w:val="0"/>
        <w:ind w:left="0" w:firstLine="709"/>
        <w:jc w:val="both"/>
        <w:spacing w:before="60" w:after="60"/>
        <w:rPr>
          <w:bCs/>
          <w:iCs/>
        </w:rPr>
      </w:pPr>
      <w:r>
        <w:rPr>
          <w:bCs/>
          <w:iCs/>
        </w:rPr>
        <w:t xml:space="preserve">Организатор закупки вправе не осуществ</w:t>
      </w:r>
      <w:r>
        <w:rPr>
          <w:bCs/>
          <w:iCs/>
        </w:rPr>
        <w:t xml:space="preserve">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4"/>
      <w:r>
        <w:rPr>
          <w:bCs/>
          <w:iCs/>
        </w:rPr>
      </w:r>
      <w:r>
        <w:rPr>
          <w:bCs/>
          <w:iCs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73"/>
          <w:color w:val="auto"/>
          <w:sz w:val="24"/>
          <w:szCs w:val="24"/>
        </w:rPr>
        <w:outlineLvl w:val="0"/>
      </w:pPr>
      <w:r>
        <w:rPr>
          <w:rStyle w:val="1073"/>
          <w:sz w:val="24"/>
          <w:szCs w:val="24"/>
        </w:rPr>
        <w:t xml:space="preserve">Внесение изменений в Закупочную документацию: </w:t>
      </w:r>
      <w:r>
        <w:rPr>
          <w:rStyle w:val="1073"/>
          <w:sz w:val="24"/>
        </w:rPr>
        <w:t xml:space="preserve">в соответствии с </w:t>
      </w:r>
      <w:r>
        <w:rPr>
          <w:rStyle w:val="1073"/>
          <w:sz w:val="24"/>
          <w:szCs w:val="24"/>
        </w:rPr>
        <w:t xml:space="preserve">требованиями, установленными в Закупочной</w:t>
      </w:r>
      <w:r>
        <w:rPr>
          <w:rStyle w:val="1073"/>
          <w:sz w:val="24"/>
        </w:rPr>
        <w:t xml:space="preserve"> документации</w:t>
      </w:r>
      <w:r>
        <w:rPr>
          <w:rStyle w:val="1073"/>
          <w:sz w:val="24"/>
          <w:szCs w:val="24"/>
        </w:rPr>
        <w:t xml:space="preserve">.</w:t>
      </w:r>
      <w:r>
        <w:rPr>
          <w:rStyle w:val="1073"/>
          <w:color w:val="auto"/>
          <w:sz w:val="24"/>
          <w:szCs w:val="24"/>
        </w:rPr>
      </w:r>
      <w:r>
        <w:rPr>
          <w:rStyle w:val="1073"/>
          <w:color w:val="auto"/>
          <w:sz w:val="24"/>
          <w:szCs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b/>
        </w:rPr>
        <w:t xml:space="preserve">до 13:00 (по московскому времени) «18</w:t>
      </w:r>
      <w:r>
        <w:rPr>
          <w:b/>
        </w:rPr>
        <w:t xml:space="preserve">» мая </w:t>
      </w:r>
      <w:r>
        <w:rPr>
          <w:b/>
        </w:rPr>
        <w:t xml:space="preserve">2026 года</w:t>
      </w:r>
      <w:r>
        <w:t xml:space="preserve"> через соответствующий функционал электронной торговой площадки, указанный в пункте 3 наст</w:t>
      </w:r>
      <w:r>
        <w:t xml:space="preserve">оящего Извещения.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tabs>
          <w:tab w:val="clear" w:pos="0" w:leader="none"/>
          <w:tab w:val="num" w:pos="851" w:leader="none"/>
        </w:tabs>
        <w:outlineLvl w:val="0"/>
      </w:pPr>
      <w:r/>
      <w:bookmarkStart w:id="5" w:name="_Hlk146803949"/>
      <w:r>
        <w:t xml:space="preserve">Возможность проведения </w:t>
      </w:r>
      <w:r>
        <w:t xml:space="preserve">уторговывания</w:t>
      </w:r>
      <w:r>
        <w:t xml:space="preserve">: </w:t>
      </w:r>
      <w:r>
        <w:rPr>
          <w:b/>
          <w:bCs/>
        </w:rPr>
        <w:t xml:space="preserve">Возможно </w:t>
      </w:r>
      <w:r/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Предусмотрен этап проведения </w:t>
      </w:r>
      <w:r>
        <w:t xml:space="preserve">уторговывания</w:t>
      </w:r>
      <w:r>
        <w:t xml:space="preserve"> в соответствии с функционалом ЭТП</w:t>
      </w:r>
      <w:r/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Ожидание этапа </w:t>
      </w:r>
      <w:r>
        <w:t xml:space="preserve">уторговывания</w:t>
      </w:r>
      <w:r>
        <w:t xml:space="preserve">: в течение 1 часа с момента окончания срока подачи заявок</w:t>
      </w:r>
      <w:r/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Проведение </w:t>
      </w:r>
      <w:r>
        <w:t xml:space="preserve">уторговывания</w:t>
      </w:r>
      <w:r>
        <w:t xml:space="preserve">: </w:t>
      </w:r>
      <w:r>
        <w:t xml:space="preserve">не более 3-х часов с момента начала торговой сессии)</w:t>
      </w:r>
      <w:r/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Загрузка окончательных предложений: </w:t>
      </w:r>
      <w:r>
        <w:rPr>
          <w:b/>
          <w:bCs/>
        </w:rPr>
        <w:t xml:space="preserve">до «19</w:t>
      </w:r>
      <w:r>
        <w:rPr>
          <w:b/>
          <w:bCs/>
        </w:rPr>
        <w:t xml:space="preserve">» </w:t>
      </w:r>
      <w:r>
        <w:rPr>
          <w:b/>
        </w:rPr>
      </w:r>
      <w:r>
        <w:rPr>
          <w:b/>
        </w:rPr>
        <w:t xml:space="preserve">мая </w:t>
      </w:r>
      <w:r/>
      <w:r>
        <w:rPr>
          <w:b/>
        </w:rPr>
      </w:r>
      <w:r>
        <w:rPr>
          <w:b/>
        </w:rPr>
        <w:t xml:space="preserve">2026</w:t>
      </w:r>
      <w:r>
        <w:rPr>
          <w:b/>
          <w:bCs/>
        </w:rPr>
        <w:t xml:space="preserve"> г. до 13:00 </w:t>
      </w:r>
      <w:r>
        <w:t xml:space="preserve">(+ 1 раб. день к дате и времени окончания срока подачи предложений) </w:t>
      </w:r>
      <w:r/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Процедура вскрытия проводится в дату и время окончания загрузки окон</w:t>
      </w:r>
      <w:r>
        <w:t xml:space="preserve">чательных предложений.</w:t>
      </w:r>
      <w:bookmarkEnd w:id="5"/>
      <w:r/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/>
          <w:bCs/>
        </w:rPr>
        <w:outlineLvl w:val="0"/>
      </w:pPr>
      <w:r>
        <w:t xml:space="preserve">Организатор закупки проведет процедуру вскрытия конвертов: </w:t>
      </w:r>
      <w:r>
        <w:rPr>
          <w:b/>
          <w:bCs/>
        </w:rPr>
        <w:t xml:space="preserve">«19</w:t>
      </w:r>
      <w:r>
        <w:rPr>
          <w:b/>
          <w:bCs/>
        </w:rPr>
        <w:t xml:space="preserve">» </w:t>
      </w:r>
      <w:r>
        <w:rPr>
          <w:b/>
        </w:rPr>
      </w:r>
      <w:r>
        <w:rPr>
          <w:b/>
        </w:rPr>
        <w:t xml:space="preserve">мая </w:t>
      </w:r>
      <w:r/>
      <w:r>
        <w:rPr>
          <w:b/>
        </w:rPr>
      </w:r>
      <w:r>
        <w:rPr>
          <w:b/>
        </w:rPr>
        <w:t xml:space="preserve">2026</w:t>
      </w:r>
      <w:r>
        <w:rPr>
          <w:b/>
          <w:bCs/>
        </w:rPr>
        <w:t xml:space="preserve"> года</w:t>
      </w:r>
      <w:r>
        <w:rPr>
          <w:b/>
          <w:bCs/>
        </w:rPr>
      </w:r>
      <w:r>
        <w:rPr>
          <w:b/>
          <w:bCs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Дата рассмотрения предложений участников закупки и подведения итогов закупки: до </w:t>
      </w:r>
      <w:r>
        <w:rPr>
          <w:b/>
          <w:bCs/>
        </w:rPr>
        <w:t xml:space="preserve">«08</w:t>
      </w:r>
      <w:r>
        <w:rPr>
          <w:b/>
          <w:bCs/>
        </w:rPr>
        <w:t xml:space="preserve">» июня</w:t>
      </w:r>
      <w:r>
        <w:rPr>
          <w:b/>
          <w:bCs/>
        </w:rPr>
        <w:t xml:space="preserve"> </w:t>
      </w:r>
      <w:r>
        <w:rPr>
          <w:b/>
          <w:bCs/>
        </w:rPr>
        <w:t xml:space="preserve">2026 года.</w:t>
      </w:r>
      <w:r>
        <w:rPr>
          <w:rStyle w:val="1035"/>
        </w:rPr>
        <w:footnoteReference w:id="3"/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  <w:lang w:eastAsia="en-US"/>
        </w:rPr>
        <w:t xml:space="preserve">Критерии оценки и сопоставления заявок на участие в</w:t>
      </w:r>
      <w:r>
        <w:rPr>
          <w:rStyle w:val="1073"/>
          <w:sz w:val="24"/>
          <w:szCs w:val="24"/>
          <w:lang w:eastAsia="en-US"/>
        </w:rPr>
        <w:t xml:space="preserve"> закупке: </w:t>
      </w:r>
      <w:r>
        <w:rPr>
          <w:rStyle w:val="1073"/>
          <w:sz w:val="24"/>
          <w:szCs w:val="24"/>
        </w:rPr>
        <w:t xml:space="preserve">В соответствии с Разделом 8 Закупочной документации «</w:t>
      </w:r>
      <w:r>
        <w:rPr>
          <w:rStyle w:val="1073"/>
          <w:sz w:val="24"/>
          <w:szCs w:val="24"/>
        </w:rPr>
        <w:t xml:space="preserve">Руководство по экспертной оценке</w:t>
      </w:r>
      <w:r>
        <w:rPr>
          <w:rStyle w:val="1073"/>
          <w:sz w:val="24"/>
          <w:szCs w:val="24"/>
        </w:rPr>
        <w:t xml:space="preserve">»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>
        <w:rPr>
          <w:rStyle w:val="1073"/>
          <w:sz w:val="24"/>
          <w:szCs w:val="24"/>
        </w:rPr>
        <w:t xml:space="preserve">В соответствии с Разделом 8 Закупочной документации «</w:t>
      </w:r>
      <w:r>
        <w:rPr>
          <w:rStyle w:val="1073"/>
          <w:sz w:val="24"/>
          <w:szCs w:val="24"/>
        </w:rPr>
        <w:t xml:space="preserve">Руководство по экспертной оценке</w:t>
      </w:r>
      <w:r>
        <w:rPr>
          <w:rStyle w:val="1073"/>
          <w:sz w:val="24"/>
          <w:szCs w:val="24"/>
        </w:rPr>
        <w:t xml:space="preserve">»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  <w:lang w:eastAsia="en-US"/>
        </w:rPr>
        <w:t xml:space="preserve">Возможность проведения переговоров: </w:t>
      </w:r>
      <w:r>
        <w:rPr>
          <w:rStyle w:val="1073"/>
          <w:b/>
          <w:color w:val="auto"/>
          <w:sz w:val="24"/>
          <w:szCs w:val="24"/>
          <w:lang w:eastAsia="en-US"/>
        </w:rPr>
        <w:t xml:space="preserve">невозможно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  <w:lang w:eastAsia="en-US"/>
        </w:rPr>
        <w:t xml:space="preserve">Подписание протокола о результатах закупки</w:t>
      </w:r>
      <w:r>
        <w:rPr>
          <w:rStyle w:val="1073"/>
          <w:color w:val="auto"/>
          <w:sz w:val="24"/>
          <w:szCs w:val="24"/>
          <w:lang w:eastAsia="en-US"/>
        </w:rPr>
        <w:t xml:space="preserve">: </w:t>
      </w:r>
      <w:r>
        <w:rPr>
          <w:rStyle w:val="1073"/>
          <w:b/>
          <w:color w:val="auto"/>
          <w:sz w:val="24"/>
          <w:szCs w:val="24"/>
          <w:lang w:eastAsia="en-US"/>
        </w:rPr>
        <w:t xml:space="preserve">Не</w:t>
      </w:r>
      <w:r>
        <w:rPr>
          <w:rStyle w:val="1073"/>
          <w:b/>
          <w:color w:val="auto"/>
          <w:sz w:val="24"/>
          <w:szCs w:val="24"/>
          <w:lang w:eastAsia="en-US"/>
        </w:rPr>
        <w:t xml:space="preserve"> установлено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73"/>
          <w:sz w:val="24"/>
        </w:rPr>
        <w:outlineLvl w:val="0"/>
      </w:pPr>
      <w:r>
        <w:rPr>
          <w:rStyle w:val="1073"/>
          <w:sz w:val="24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</w:t>
      </w:r>
      <w:r>
        <w:rPr>
          <w:rStyle w:val="1073"/>
          <w:sz w:val="24"/>
        </w:rPr>
        <w:t xml:space="preserve">днее чем через 20 (двадцать) дней со дня размещения итогового протокола.</w:t>
      </w:r>
      <w:r>
        <w:rPr>
          <w:rStyle w:val="1035"/>
          <w:color w:val="000000"/>
          <w:szCs w:val="26"/>
        </w:rPr>
        <w:footnoteReference w:id="4"/>
      </w:r>
      <w:r>
        <w:rPr>
          <w:rStyle w:val="1073"/>
          <w:sz w:val="24"/>
        </w:rPr>
      </w:r>
      <w:r>
        <w:rPr>
          <w:rStyle w:val="1073"/>
          <w:sz w:val="24"/>
        </w:rPr>
      </w:r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548dd4"/>
        </w:rPr>
        <w:outlineLvl w:val="0"/>
      </w:pPr>
      <w:r>
        <w:t xml:space="preserve">Обеспечение исполнения договора и/или возврата аванса и/или гарантийных обязательств: </w:t>
      </w:r>
      <w:r>
        <w:rPr>
          <w:rStyle w:val="1073"/>
          <w:color w:val="auto"/>
          <w:sz w:val="24"/>
          <w:szCs w:val="24"/>
          <w:lang w:eastAsia="en-US"/>
        </w:rPr>
        <w:t xml:space="preserve">в соответствии с проектом договора</w:t>
      </w:r>
      <w:r>
        <w:rPr>
          <w:color w:val="548dd4"/>
        </w:rPr>
      </w:r>
      <w:r>
        <w:rPr>
          <w:color w:val="548dd4"/>
        </w:rPr>
      </w:r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Размер обеспечения</w:t>
      </w:r>
      <w:r>
        <w:t xml:space="preserve">: В</w:t>
      </w:r>
      <w:r>
        <w:rPr>
          <w:i/>
        </w:rPr>
        <w:t xml:space="preserve"> соответствии с</w:t>
      </w:r>
      <w:r>
        <w:rPr>
          <w:i/>
        </w:rPr>
        <w:t xml:space="preserve"> разделом 7 «Проект Договора»</w:t>
      </w:r>
      <w:r/>
    </w:p>
    <w:p>
      <w:pPr>
        <w:pStyle w:val="1075"/>
        <w:contextualSpacing w:val="0"/>
        <w:ind w:left="0" w:firstLine="709"/>
        <w:jc w:val="both"/>
        <w:spacing w:before="60" w:after="60"/>
      </w:pPr>
      <w:r>
        <w:t xml:space="preserve">Вид обеспечения: </w:t>
      </w:r>
      <w:r>
        <w:rPr>
          <w:i/>
        </w:rPr>
        <w:t xml:space="preserve">Б</w:t>
      </w:r>
      <w:r>
        <w:rPr>
          <w:i/>
        </w:rPr>
        <w:t xml:space="preserve">анковская гарантия, залог денежных средств</w:t>
      </w:r>
      <w:r>
        <w:t xml:space="preserve">, поручительство аффилированного лица (в случаях, установленных в разделе 3 Закупочной документации)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</w:rPr>
        <w:t xml:space="preserve">Валюта закупки: </w:t>
      </w:r>
      <w:r>
        <w:t xml:space="preserve">Рубль РФ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</w:rPr>
        <w:t xml:space="preserve">Возможность привлечения субподрядчика/соисполнителя</w:t>
      </w:r>
      <w:r>
        <w:rPr>
          <w:rStyle w:val="1073"/>
          <w:sz w:val="24"/>
          <w:szCs w:val="24"/>
        </w:rPr>
        <w:t xml:space="preserve">: </w:t>
      </w:r>
      <w:r>
        <w:rPr>
          <w:i/>
        </w:rPr>
        <w:t xml:space="preserve">В соответствии с</w:t>
      </w:r>
      <w:r>
        <w:rPr>
          <w:i/>
        </w:rPr>
        <w:t xml:space="preserve"> разделом 6 «Технич</w:t>
      </w:r>
      <w:r>
        <w:rPr>
          <w:i/>
        </w:rPr>
        <w:t xml:space="preserve">еская часть»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073"/>
          <w:sz w:val="24"/>
          <w:szCs w:val="24"/>
        </w:rPr>
        <w:t xml:space="preserve">Возможность подачи альтернативных предложений</w:t>
      </w:r>
      <w:r>
        <w:rPr>
          <w:rStyle w:val="1073"/>
          <w:color w:val="auto"/>
          <w:sz w:val="24"/>
          <w:szCs w:val="24"/>
        </w:rPr>
        <w:t xml:space="preserve">: </w:t>
      </w:r>
      <w:r>
        <w:rPr>
          <w:i/>
        </w:rPr>
        <w:t xml:space="preserve">допускается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</w:t>
      </w:r>
      <w:r>
        <w:t xml:space="preserve">закупки. 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t xml:space="preserve">В случае если участник закупочной процед</w:t>
      </w:r>
      <w:r>
        <w:t xml:space="preserve">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9" w:tooltip="http://www.interrao-zakupki.ru/" w:history="1">
        <w:r>
          <w:rPr>
            <w:rStyle w:val="1034"/>
          </w:rPr>
          <w:t xml:space="preserve">http://www.interrao-zakupki.ru/</w:t>
        </w:r>
      </w:hyperlink>
      <w: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</w:t>
      </w:r>
      <w:r>
        <w:t xml:space="preserve">тсутствии в них изменений), при подаче заявки на участие в закупке не требуется (Документы, не требующие повторного предоставления, отмечены в пункте 5.2.1 Закупочной документации, как «Не требуется предоставлять, если участник закупки является Аккредитова</w:t>
      </w:r>
      <w:r>
        <w:t xml:space="preserve">нным поставщиком в Группе «Интер РАО») с учетом требований Закупочной документации. </w:t>
      </w:r>
      <w:r/>
    </w:p>
    <w:p>
      <w:pPr>
        <w:pStyle w:val="1075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Cs/>
        </w:rPr>
        <w:outlineLvl w:val="0"/>
      </w:pPr>
      <w:r>
        <w:t xml:space="preserve">Способ формирования начальной максимальной цены (НМЦ): </w:t>
      </w:r>
      <w:r>
        <w:rPr>
          <w:bCs/>
        </w:rPr>
      </w:r>
      <w:r>
        <w:rPr>
          <w:bCs/>
        </w:rPr>
        <w:t xml:space="preserve">Расчет средней цены по результатам анализа рыночной стоимости</w:t>
      </w:r>
      <w:r>
        <w:rPr>
          <w:bCs/>
        </w:rPr>
      </w:r>
      <w:r>
        <w:rPr>
          <w:bCs/>
        </w:rPr>
      </w:r>
    </w:p>
    <w:p>
      <w:pPr>
        <w:pStyle w:val="1075"/>
        <w:contextualSpacing w:val="0"/>
        <w:ind w:left="0" w:firstLine="709"/>
        <w:jc w:val="both"/>
        <w:spacing w:before="60" w:after="60"/>
        <w:outlineLvl w:val="0"/>
      </w:pPr>
      <w:r/>
      <w:r/>
    </w:p>
    <w:p>
      <w:pPr>
        <w:pStyle w:val="1075"/>
        <w:contextualSpacing w:val="0"/>
        <w:ind w:left="0" w:firstLine="709"/>
        <w:jc w:val="both"/>
        <w:spacing w:before="60" w:after="60"/>
        <w:outlineLvl w:val="0"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284" w:right="707" w:bottom="426" w:left="1134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44"/>
      </w:pPr>
      <w:r>
        <w:rPr>
          <w:rStyle w:val="1035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  <w:r/>
    </w:p>
  </w:footnote>
  <w:footnote w:id="4">
    <w:p>
      <w:pPr>
        <w:pStyle w:val="1044"/>
      </w:pPr>
      <w:r>
        <w:rPr>
          <w:rStyle w:val="1035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spacing w:line="240" w:lineRule="auto"/>
            <w:tabs>
              <w:tab w:val="left" w:pos="907" w:leader="none"/>
              <w:tab w:val="left" w:pos="8931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62175" cy="695325"/>
                    <wp:effectExtent l="0" t="0" r="9525" b="9525"/>
                    <wp:docPr id="1" name="Рисунок 2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2175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25pt;height:54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spacing w:line="240" w:lineRule="auto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spacing w:line="240" w:lineRule="auto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spacing w:line="240" w:lineRule="auto"/>
            <w:tabs>
              <w:tab w:val="left" w:pos="8931" w:leader="none"/>
            </w:tabs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pStyle w:val="103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873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74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75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76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77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86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87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5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pStyle w:val="105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1060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87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87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83" w:hanging="360"/>
        <w:tabs>
          <w:tab w:val="num" w:pos="1583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95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7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9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1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3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5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7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9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  <w:b w:val="0"/>
        <w:i w:val="0"/>
        <w:color w:val="auto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4"/>
  </w:num>
  <w:num w:numId="8">
    <w:abstractNumId w:val="5"/>
  </w:num>
  <w:num w:numId="9">
    <w:abstractNumId w:val="0"/>
  </w:num>
  <w:num w:numId="10">
    <w:abstractNumId w:val="13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3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3">
    <w:name w:val="Heading 1 Char"/>
    <w:basedOn w:val="878"/>
    <w:link w:val="869"/>
    <w:uiPriority w:val="9"/>
    <w:rPr>
      <w:rFonts w:ascii="Arial" w:hAnsi="Arial" w:eastAsia="Arial" w:cs="Arial"/>
      <w:sz w:val="40"/>
      <w:szCs w:val="40"/>
    </w:rPr>
  </w:style>
  <w:style w:type="character" w:styleId="854">
    <w:name w:val="Heading 2 Char"/>
    <w:basedOn w:val="878"/>
    <w:link w:val="870"/>
    <w:uiPriority w:val="9"/>
    <w:rPr>
      <w:rFonts w:ascii="Arial" w:hAnsi="Arial" w:eastAsia="Arial" w:cs="Arial"/>
      <w:sz w:val="34"/>
    </w:rPr>
  </w:style>
  <w:style w:type="character" w:styleId="855">
    <w:name w:val="Heading 3 Char"/>
    <w:basedOn w:val="878"/>
    <w:link w:val="871"/>
    <w:uiPriority w:val="9"/>
    <w:rPr>
      <w:rFonts w:ascii="Arial" w:hAnsi="Arial" w:eastAsia="Arial" w:cs="Arial"/>
      <w:sz w:val="30"/>
      <w:szCs w:val="30"/>
    </w:rPr>
  </w:style>
  <w:style w:type="character" w:styleId="856">
    <w:name w:val="Heading 4 Char"/>
    <w:basedOn w:val="878"/>
    <w:link w:val="872"/>
    <w:uiPriority w:val="9"/>
    <w:rPr>
      <w:rFonts w:ascii="Arial" w:hAnsi="Arial" w:eastAsia="Arial" w:cs="Arial"/>
      <w:b/>
      <w:bCs/>
      <w:sz w:val="26"/>
      <w:szCs w:val="26"/>
    </w:rPr>
  </w:style>
  <w:style w:type="character" w:styleId="857">
    <w:name w:val="Heading 5 Char"/>
    <w:basedOn w:val="878"/>
    <w:link w:val="873"/>
    <w:uiPriority w:val="9"/>
    <w:rPr>
      <w:rFonts w:ascii="Arial" w:hAnsi="Arial" w:eastAsia="Arial" w:cs="Arial"/>
      <w:b/>
      <w:bCs/>
      <w:sz w:val="24"/>
      <w:szCs w:val="24"/>
    </w:rPr>
  </w:style>
  <w:style w:type="character" w:styleId="858">
    <w:name w:val="Heading 6 Char"/>
    <w:basedOn w:val="878"/>
    <w:link w:val="874"/>
    <w:uiPriority w:val="9"/>
    <w:rPr>
      <w:rFonts w:ascii="Arial" w:hAnsi="Arial" w:eastAsia="Arial" w:cs="Arial"/>
      <w:b/>
      <w:bCs/>
      <w:sz w:val="22"/>
      <w:szCs w:val="22"/>
    </w:rPr>
  </w:style>
  <w:style w:type="character" w:styleId="859">
    <w:name w:val="Heading 7 Char"/>
    <w:basedOn w:val="878"/>
    <w:link w:val="8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0">
    <w:name w:val="Heading 8 Char"/>
    <w:basedOn w:val="878"/>
    <w:link w:val="876"/>
    <w:uiPriority w:val="9"/>
    <w:rPr>
      <w:rFonts w:ascii="Arial" w:hAnsi="Arial" w:eastAsia="Arial" w:cs="Arial"/>
      <w:i/>
      <w:iCs/>
      <w:sz w:val="22"/>
      <w:szCs w:val="22"/>
    </w:rPr>
  </w:style>
  <w:style w:type="character" w:styleId="861">
    <w:name w:val="Heading 9 Char"/>
    <w:basedOn w:val="878"/>
    <w:link w:val="877"/>
    <w:uiPriority w:val="9"/>
    <w:rPr>
      <w:rFonts w:ascii="Arial" w:hAnsi="Arial" w:eastAsia="Arial" w:cs="Arial"/>
      <w:i/>
      <w:iCs/>
      <w:sz w:val="21"/>
      <w:szCs w:val="21"/>
    </w:rPr>
  </w:style>
  <w:style w:type="character" w:styleId="862">
    <w:name w:val="Subtitle Char"/>
    <w:basedOn w:val="878"/>
    <w:link w:val="892"/>
    <w:uiPriority w:val="11"/>
    <w:rPr>
      <w:sz w:val="24"/>
      <w:szCs w:val="24"/>
    </w:rPr>
  </w:style>
  <w:style w:type="character" w:styleId="863">
    <w:name w:val="Quote Char"/>
    <w:link w:val="894"/>
    <w:uiPriority w:val="29"/>
    <w:rPr>
      <w:i/>
    </w:rPr>
  </w:style>
  <w:style w:type="character" w:styleId="864">
    <w:name w:val="Intense Quote Char"/>
    <w:link w:val="896"/>
    <w:uiPriority w:val="30"/>
    <w:rPr>
      <w:i/>
    </w:rPr>
  </w:style>
  <w:style w:type="character" w:styleId="865">
    <w:name w:val="Caption Char"/>
    <w:basedOn w:val="878"/>
    <w:link w:val="1046"/>
    <w:uiPriority w:val="35"/>
    <w:rPr>
      <w:b/>
      <w:bCs/>
      <w:color w:val="4f81bd" w:themeColor="accent1"/>
      <w:sz w:val="18"/>
      <w:szCs w:val="18"/>
    </w:rPr>
  </w:style>
  <w:style w:type="character" w:styleId="866">
    <w:name w:val="Footnote Text Char"/>
    <w:link w:val="1044"/>
    <w:uiPriority w:val="99"/>
    <w:rPr>
      <w:sz w:val="18"/>
    </w:rPr>
  </w:style>
  <w:style w:type="character" w:styleId="867">
    <w:name w:val="Endnote Text Char"/>
    <w:link w:val="1027"/>
    <w:uiPriority w:val="99"/>
    <w:rPr>
      <w:sz w:val="20"/>
    </w:rPr>
  </w:style>
  <w:style w:type="paragraph" w:styleId="868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69">
    <w:name w:val="Heading 1"/>
    <w:basedOn w:val="868"/>
    <w:next w:val="868"/>
    <w:link w:val="881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870">
    <w:name w:val="Heading 2"/>
    <w:basedOn w:val="868"/>
    <w:next w:val="868"/>
    <w:link w:val="882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871">
    <w:name w:val="Heading 3"/>
    <w:basedOn w:val="868"/>
    <w:next w:val="868"/>
    <w:link w:val="883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872">
    <w:name w:val="Heading 4"/>
    <w:basedOn w:val="868"/>
    <w:next w:val="868"/>
    <w:link w:val="884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873">
    <w:name w:val="Heading 5"/>
    <w:basedOn w:val="868"/>
    <w:next w:val="868"/>
    <w:link w:val="885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874">
    <w:name w:val="Heading 6"/>
    <w:basedOn w:val="868"/>
    <w:next w:val="868"/>
    <w:link w:val="886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875">
    <w:name w:val="Heading 7"/>
    <w:basedOn w:val="868"/>
    <w:next w:val="868"/>
    <w:link w:val="887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876">
    <w:name w:val="Heading 8"/>
    <w:basedOn w:val="868"/>
    <w:next w:val="868"/>
    <w:link w:val="888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877">
    <w:name w:val="Heading 9"/>
    <w:basedOn w:val="868"/>
    <w:next w:val="868"/>
    <w:link w:val="889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878" w:default="1">
    <w:name w:val="Default Paragraph Font"/>
    <w:uiPriority w:val="1"/>
    <w:semiHidden/>
    <w:unhideWhenUsed/>
  </w:style>
  <w:style w:type="table" w:styleId="8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0" w:default="1">
    <w:name w:val="No List"/>
    <w:uiPriority w:val="99"/>
    <w:semiHidden/>
    <w:unhideWhenUsed/>
  </w:style>
  <w:style w:type="character" w:styleId="881" w:customStyle="1">
    <w:name w:val="Заголовок 1 Знак"/>
    <w:basedOn w:val="878"/>
    <w:link w:val="869"/>
    <w:uiPriority w:val="9"/>
    <w:rPr>
      <w:rFonts w:ascii="Arial" w:hAnsi="Arial" w:eastAsia="Arial" w:cs="Arial"/>
      <w:sz w:val="40"/>
      <w:szCs w:val="40"/>
    </w:rPr>
  </w:style>
  <w:style w:type="character" w:styleId="882" w:customStyle="1">
    <w:name w:val="Заголовок 2 Знак"/>
    <w:basedOn w:val="878"/>
    <w:link w:val="870"/>
    <w:uiPriority w:val="9"/>
    <w:rPr>
      <w:rFonts w:ascii="Arial" w:hAnsi="Arial" w:eastAsia="Arial" w:cs="Arial"/>
      <w:sz w:val="34"/>
    </w:rPr>
  </w:style>
  <w:style w:type="character" w:styleId="883" w:customStyle="1">
    <w:name w:val="Заголовок 3 Знак"/>
    <w:basedOn w:val="878"/>
    <w:link w:val="871"/>
    <w:uiPriority w:val="9"/>
    <w:rPr>
      <w:rFonts w:ascii="Arial" w:hAnsi="Arial" w:eastAsia="Arial" w:cs="Arial"/>
      <w:sz w:val="30"/>
      <w:szCs w:val="30"/>
    </w:rPr>
  </w:style>
  <w:style w:type="character" w:styleId="884" w:customStyle="1">
    <w:name w:val="Заголовок 4 Знак"/>
    <w:basedOn w:val="878"/>
    <w:link w:val="872"/>
    <w:uiPriority w:val="9"/>
    <w:rPr>
      <w:rFonts w:ascii="Arial" w:hAnsi="Arial" w:eastAsia="Arial" w:cs="Arial"/>
      <w:b/>
      <w:bCs/>
      <w:sz w:val="26"/>
      <w:szCs w:val="26"/>
    </w:rPr>
  </w:style>
  <w:style w:type="character" w:styleId="885" w:customStyle="1">
    <w:name w:val="Заголовок 5 Знак"/>
    <w:basedOn w:val="878"/>
    <w:link w:val="873"/>
    <w:uiPriority w:val="9"/>
    <w:rPr>
      <w:rFonts w:ascii="Arial" w:hAnsi="Arial" w:eastAsia="Arial" w:cs="Arial"/>
      <w:b/>
      <w:bCs/>
      <w:sz w:val="24"/>
      <w:szCs w:val="24"/>
    </w:rPr>
  </w:style>
  <w:style w:type="character" w:styleId="886" w:customStyle="1">
    <w:name w:val="Заголовок 6 Знак"/>
    <w:basedOn w:val="878"/>
    <w:link w:val="874"/>
    <w:uiPriority w:val="9"/>
    <w:rPr>
      <w:rFonts w:ascii="Arial" w:hAnsi="Arial" w:eastAsia="Arial" w:cs="Arial"/>
      <w:b/>
      <w:bCs/>
      <w:sz w:val="22"/>
      <w:szCs w:val="22"/>
    </w:rPr>
  </w:style>
  <w:style w:type="character" w:styleId="887" w:customStyle="1">
    <w:name w:val="Заголовок 7 Знак"/>
    <w:basedOn w:val="878"/>
    <w:link w:val="8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8" w:customStyle="1">
    <w:name w:val="Заголовок 8 Знак"/>
    <w:basedOn w:val="878"/>
    <w:link w:val="876"/>
    <w:uiPriority w:val="9"/>
    <w:rPr>
      <w:rFonts w:ascii="Arial" w:hAnsi="Arial" w:eastAsia="Arial" w:cs="Arial"/>
      <w:i/>
      <w:iCs/>
      <w:sz w:val="22"/>
      <w:szCs w:val="22"/>
    </w:rPr>
  </w:style>
  <w:style w:type="character" w:styleId="889" w:customStyle="1">
    <w:name w:val="Заголовок 9 Знак"/>
    <w:basedOn w:val="878"/>
    <w:link w:val="877"/>
    <w:uiPriority w:val="9"/>
    <w:rPr>
      <w:rFonts w:ascii="Arial" w:hAnsi="Arial" w:eastAsia="Arial" w:cs="Arial"/>
      <w:i/>
      <w:iCs/>
      <w:sz w:val="21"/>
      <w:szCs w:val="21"/>
    </w:rPr>
  </w:style>
  <w:style w:type="paragraph" w:styleId="890">
    <w:name w:val="No Spacing"/>
    <w:uiPriority w:val="1"/>
    <w:qFormat/>
  </w:style>
  <w:style w:type="character" w:styleId="891" w:customStyle="1">
    <w:name w:val="Title Char"/>
    <w:basedOn w:val="878"/>
    <w:uiPriority w:val="10"/>
    <w:rPr>
      <w:sz w:val="48"/>
      <w:szCs w:val="48"/>
    </w:rPr>
  </w:style>
  <w:style w:type="paragraph" w:styleId="892">
    <w:name w:val="Subtitle"/>
    <w:basedOn w:val="868"/>
    <w:next w:val="868"/>
    <w:link w:val="893"/>
    <w:uiPriority w:val="11"/>
    <w:qFormat/>
    <w:pPr>
      <w:spacing w:before="200" w:after="200"/>
    </w:pPr>
    <w:rPr>
      <w:sz w:val="24"/>
      <w:szCs w:val="24"/>
    </w:rPr>
  </w:style>
  <w:style w:type="character" w:styleId="893" w:customStyle="1">
    <w:name w:val="Подзаголовок Знак"/>
    <w:basedOn w:val="878"/>
    <w:link w:val="892"/>
    <w:uiPriority w:val="11"/>
    <w:rPr>
      <w:sz w:val="24"/>
      <w:szCs w:val="24"/>
    </w:rPr>
  </w:style>
  <w:style w:type="paragraph" w:styleId="894">
    <w:name w:val="Quote"/>
    <w:basedOn w:val="868"/>
    <w:next w:val="868"/>
    <w:link w:val="895"/>
    <w:uiPriority w:val="29"/>
    <w:qFormat/>
    <w:pPr>
      <w:ind w:left="720" w:right="720"/>
    </w:pPr>
    <w:rPr>
      <w:i/>
    </w:rPr>
  </w:style>
  <w:style w:type="character" w:styleId="895" w:customStyle="1">
    <w:name w:val="Цитата 2 Знак"/>
    <w:link w:val="894"/>
    <w:uiPriority w:val="29"/>
    <w:rPr>
      <w:i/>
    </w:rPr>
  </w:style>
  <w:style w:type="paragraph" w:styleId="896">
    <w:name w:val="Intense Quote"/>
    <w:basedOn w:val="868"/>
    <w:next w:val="868"/>
    <w:link w:val="89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7" w:customStyle="1">
    <w:name w:val="Выделенная цитата Знак"/>
    <w:link w:val="896"/>
    <w:uiPriority w:val="30"/>
    <w:rPr>
      <w:i/>
    </w:rPr>
  </w:style>
  <w:style w:type="character" w:styleId="898" w:customStyle="1">
    <w:name w:val="Header Char"/>
    <w:basedOn w:val="878"/>
    <w:uiPriority w:val="99"/>
  </w:style>
  <w:style w:type="character" w:styleId="899" w:customStyle="1">
    <w:name w:val="Footer Char"/>
    <w:basedOn w:val="878"/>
    <w:uiPriority w:val="99"/>
  </w:style>
  <w:style w:type="character" w:styleId="900" w:customStyle="1">
    <w:name w:val="Нижний колонтитул Знак"/>
    <w:link w:val="1033"/>
    <w:uiPriority w:val="99"/>
  </w:style>
  <w:style w:type="table" w:styleId="901" w:customStyle="1">
    <w:name w:val="Table Grid Light"/>
    <w:basedOn w:val="8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02">
    <w:name w:val="Plain Table 1"/>
    <w:basedOn w:val="8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3">
    <w:name w:val="Plain Table 2"/>
    <w:basedOn w:val="8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>
    <w:name w:val="Plain Table 3"/>
    <w:basedOn w:val="8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5">
    <w:name w:val="Plain Table 4"/>
    <w:basedOn w:val="8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Plain Table 5"/>
    <w:basedOn w:val="8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7">
    <w:name w:val="Grid Table 1 Light"/>
    <w:basedOn w:val="8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Grid Table 1 Light - Accent 1"/>
    <w:basedOn w:val="8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Grid Table 1 Light - Accent 2"/>
    <w:basedOn w:val="8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Grid Table 1 Light - Accent 3"/>
    <w:basedOn w:val="8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Grid Table 1 Light - Accent 4"/>
    <w:basedOn w:val="8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Grid Table 1 Light - Accent 5"/>
    <w:basedOn w:val="8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Grid Table 1 Light - Accent 6"/>
    <w:basedOn w:val="8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2"/>
    <w:basedOn w:val="8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2 - Accent 1"/>
    <w:basedOn w:val="8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2 - Accent 2"/>
    <w:basedOn w:val="8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2 - Accent 3"/>
    <w:basedOn w:val="8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2 - Accent 4"/>
    <w:basedOn w:val="8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2 - Accent 5"/>
    <w:basedOn w:val="8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2 - Accent 6"/>
    <w:basedOn w:val="8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"/>
    <w:basedOn w:val="8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3 - Accent 1"/>
    <w:basedOn w:val="8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3 - Accent 2"/>
    <w:basedOn w:val="8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3 - Accent 3"/>
    <w:basedOn w:val="8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3 - Accent 4"/>
    <w:basedOn w:val="8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3 - Accent 5"/>
    <w:basedOn w:val="8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3 - Accent 6"/>
    <w:basedOn w:val="8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4"/>
    <w:basedOn w:val="8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9" w:customStyle="1">
    <w:name w:val="Grid Table 4 - Accent 1"/>
    <w:basedOn w:val="8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0" w:customStyle="1">
    <w:name w:val="Grid Table 4 - Accent 2"/>
    <w:basedOn w:val="8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1" w:customStyle="1">
    <w:name w:val="Grid Table 4 - Accent 3"/>
    <w:basedOn w:val="8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32" w:customStyle="1">
    <w:name w:val="Grid Table 4 - Accent 4"/>
    <w:basedOn w:val="8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33" w:customStyle="1">
    <w:name w:val="Grid Table 4 - Accent 5"/>
    <w:basedOn w:val="8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34" w:customStyle="1">
    <w:name w:val="Grid Table 4 - Accent 6"/>
    <w:basedOn w:val="8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35">
    <w:name w:val="Grid Table 5 Dark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36" w:customStyle="1">
    <w:name w:val="Grid Table 5 Dark- Accent 1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37" w:customStyle="1">
    <w:name w:val="Grid Table 5 Dark - Accent 2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38" w:customStyle="1">
    <w:name w:val="Grid Table 5 Dark - Accent 3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39" w:customStyle="1">
    <w:name w:val="Grid Table 5 Dark- Accent 4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0" w:customStyle="1">
    <w:name w:val="Grid Table 5 Dark - Accent 5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1" w:customStyle="1">
    <w:name w:val="Grid Table 5 Dark - Accent 6"/>
    <w:basedOn w:val="8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42">
    <w:name w:val="Grid Table 6 Colorful"/>
    <w:basedOn w:val="8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3" w:customStyle="1">
    <w:name w:val="Grid Table 6 Colorful - Accent 1"/>
    <w:basedOn w:val="8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44" w:customStyle="1">
    <w:name w:val="Grid Table 6 Colorful - Accent 2"/>
    <w:basedOn w:val="8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45" w:customStyle="1">
    <w:name w:val="Grid Table 6 Colorful - Accent 3"/>
    <w:basedOn w:val="8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46" w:customStyle="1">
    <w:name w:val="Grid Table 6 Colorful - Accent 4"/>
    <w:basedOn w:val="8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47" w:customStyle="1">
    <w:name w:val="Grid Table 6 Colorful - Accent 5"/>
    <w:basedOn w:val="8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48" w:customStyle="1">
    <w:name w:val="Grid Table 6 Colorful - Accent 6"/>
    <w:basedOn w:val="8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49">
    <w:name w:val="Grid Table 7 Colorful"/>
    <w:basedOn w:val="8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7 Colorful - Accent 1"/>
    <w:basedOn w:val="8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7 Colorful - Accent 2"/>
    <w:basedOn w:val="8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7 Colorful - Accent 3"/>
    <w:basedOn w:val="8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7 Colorful - Accent 4"/>
    <w:basedOn w:val="8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Grid Table 7 Colorful - Accent 5"/>
    <w:basedOn w:val="8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7 Colorful - Accent 6"/>
    <w:basedOn w:val="8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"/>
    <w:basedOn w:val="8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1 Light - Accent 1"/>
    <w:basedOn w:val="8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1 Light - Accent 2"/>
    <w:basedOn w:val="8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1 Light - Accent 3"/>
    <w:basedOn w:val="8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1 Light - Accent 4"/>
    <w:basedOn w:val="8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1 Light - Accent 5"/>
    <w:basedOn w:val="8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1 Light - Accent 6"/>
    <w:basedOn w:val="8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2"/>
    <w:basedOn w:val="8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64" w:customStyle="1">
    <w:name w:val="List Table 2 - Accent 1"/>
    <w:basedOn w:val="8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65" w:customStyle="1">
    <w:name w:val="List Table 2 - Accent 2"/>
    <w:basedOn w:val="8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66" w:customStyle="1">
    <w:name w:val="List Table 2 - Accent 3"/>
    <w:basedOn w:val="8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67" w:customStyle="1">
    <w:name w:val="List Table 2 - Accent 4"/>
    <w:basedOn w:val="8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68" w:customStyle="1">
    <w:name w:val="List Table 2 - Accent 5"/>
    <w:basedOn w:val="8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69" w:customStyle="1">
    <w:name w:val="List Table 2 - Accent 6"/>
    <w:basedOn w:val="8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0">
    <w:name w:val="List Table 3"/>
    <w:basedOn w:val="8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3 - Accent 1"/>
    <w:basedOn w:val="8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3 - Accent 2"/>
    <w:basedOn w:val="8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 w:customStyle="1">
    <w:name w:val="List Table 3 - Accent 3"/>
    <w:basedOn w:val="8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List Table 3 - Accent 4"/>
    <w:basedOn w:val="8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 w:customStyle="1">
    <w:name w:val="List Table 3 - Accent 5"/>
    <w:basedOn w:val="8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List Table 3 - Accent 6"/>
    <w:basedOn w:val="8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"/>
    <w:basedOn w:val="8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4 - Accent 1"/>
    <w:basedOn w:val="8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4 - Accent 2"/>
    <w:basedOn w:val="8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4 - Accent 3"/>
    <w:basedOn w:val="8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4 - Accent 4"/>
    <w:basedOn w:val="8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4 - Accent 5"/>
    <w:basedOn w:val="8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4 - Accent 6"/>
    <w:basedOn w:val="8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5 Dark"/>
    <w:basedOn w:val="8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5" w:customStyle="1">
    <w:name w:val="List Table 5 Dark - Accent 1"/>
    <w:basedOn w:val="8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6" w:customStyle="1">
    <w:name w:val="List Table 5 Dark - Accent 2"/>
    <w:basedOn w:val="8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7" w:customStyle="1">
    <w:name w:val="List Table 5 Dark - Accent 3"/>
    <w:basedOn w:val="8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8" w:customStyle="1">
    <w:name w:val="List Table 5 Dark - Accent 4"/>
    <w:basedOn w:val="8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9" w:customStyle="1">
    <w:name w:val="List Table 5 Dark - Accent 5"/>
    <w:basedOn w:val="8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0" w:customStyle="1">
    <w:name w:val="List Table 5 Dark - Accent 6"/>
    <w:basedOn w:val="8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1">
    <w:name w:val="List Table 6 Colorful"/>
    <w:basedOn w:val="8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92" w:customStyle="1">
    <w:name w:val="List Table 6 Colorful - Accent 1"/>
    <w:basedOn w:val="8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93" w:customStyle="1">
    <w:name w:val="List Table 6 Colorful - Accent 2"/>
    <w:basedOn w:val="8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94" w:customStyle="1">
    <w:name w:val="List Table 6 Colorful - Accent 3"/>
    <w:basedOn w:val="8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95" w:customStyle="1">
    <w:name w:val="List Table 6 Colorful - Accent 4"/>
    <w:basedOn w:val="8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96" w:customStyle="1">
    <w:name w:val="List Table 6 Colorful - Accent 5"/>
    <w:basedOn w:val="8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97" w:customStyle="1">
    <w:name w:val="List Table 6 Colorful - Accent 6"/>
    <w:basedOn w:val="8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98">
    <w:name w:val="List Table 7 Colorful"/>
    <w:basedOn w:val="8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7 Colorful - Accent 1"/>
    <w:basedOn w:val="8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7 Colorful - Accent 2"/>
    <w:basedOn w:val="8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7 Colorful - Accent 3"/>
    <w:basedOn w:val="8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7 Colorful - Accent 4"/>
    <w:basedOn w:val="8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st Table 7 Colorful - Accent 5"/>
    <w:basedOn w:val="8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7 Colorful - Accent 6"/>
    <w:basedOn w:val="8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ned - Accent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6" w:customStyle="1">
    <w:name w:val="Lined - Accent 1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07" w:customStyle="1">
    <w:name w:val="Lined - Accent 2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08" w:customStyle="1">
    <w:name w:val="Lined - Accent 3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09" w:customStyle="1">
    <w:name w:val="Lined - Accent 4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0" w:customStyle="1">
    <w:name w:val="Lined - Accent 5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1" w:customStyle="1">
    <w:name w:val="Lined - Accent 6"/>
    <w:basedOn w:val="8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2" w:customStyle="1">
    <w:name w:val="Bordered &amp; Lined - Accent"/>
    <w:basedOn w:val="8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3" w:customStyle="1">
    <w:name w:val="Bordered &amp; Lined - Accent 1"/>
    <w:basedOn w:val="8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4" w:customStyle="1">
    <w:name w:val="Bordered &amp; Lined - Accent 2"/>
    <w:basedOn w:val="8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5" w:customStyle="1">
    <w:name w:val="Bordered &amp; Lined - Accent 3"/>
    <w:basedOn w:val="8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6" w:customStyle="1">
    <w:name w:val="Bordered &amp; Lined - Accent 4"/>
    <w:basedOn w:val="8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7" w:customStyle="1">
    <w:name w:val="Bordered &amp; Lined - Accent 5"/>
    <w:basedOn w:val="8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8" w:customStyle="1">
    <w:name w:val="Bordered &amp; Lined - Accent 6"/>
    <w:basedOn w:val="8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9" w:customStyle="1">
    <w:name w:val="Bordered"/>
    <w:basedOn w:val="8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0" w:customStyle="1">
    <w:name w:val="Bordered - Accent 1"/>
    <w:basedOn w:val="8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1" w:customStyle="1">
    <w:name w:val="Bordered - Accent 2"/>
    <w:basedOn w:val="8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22" w:customStyle="1">
    <w:name w:val="Bordered - Accent 3"/>
    <w:basedOn w:val="8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23" w:customStyle="1">
    <w:name w:val="Bordered - Accent 4"/>
    <w:basedOn w:val="8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24" w:customStyle="1">
    <w:name w:val="Bordered - Accent 5"/>
    <w:basedOn w:val="8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25" w:customStyle="1">
    <w:name w:val="Bordered - Accent 6"/>
    <w:basedOn w:val="8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26" w:customStyle="1">
    <w:name w:val="Текст сноски Знак"/>
    <w:link w:val="1044"/>
    <w:uiPriority w:val="99"/>
    <w:rPr>
      <w:sz w:val="18"/>
    </w:rPr>
  </w:style>
  <w:style w:type="paragraph" w:styleId="1027">
    <w:name w:val="endnote text"/>
    <w:basedOn w:val="868"/>
    <w:link w:val="1028"/>
    <w:uiPriority w:val="99"/>
    <w:semiHidden/>
    <w:unhideWhenUsed/>
    <w:pPr>
      <w:spacing w:line="240" w:lineRule="auto"/>
    </w:pPr>
    <w:rPr>
      <w:sz w:val="20"/>
    </w:rPr>
  </w:style>
  <w:style w:type="character" w:styleId="1028" w:customStyle="1">
    <w:name w:val="Текст концевой сноски Знак"/>
    <w:link w:val="1027"/>
    <w:uiPriority w:val="99"/>
    <w:rPr>
      <w:sz w:val="20"/>
    </w:rPr>
  </w:style>
  <w:style w:type="character" w:styleId="1029">
    <w:name w:val="endnote reference"/>
    <w:basedOn w:val="878"/>
    <w:uiPriority w:val="99"/>
    <w:semiHidden/>
    <w:unhideWhenUsed/>
    <w:rPr>
      <w:vertAlign w:val="superscript"/>
    </w:rPr>
  </w:style>
  <w:style w:type="paragraph" w:styleId="1030">
    <w:name w:val="TOC Heading"/>
    <w:uiPriority w:val="39"/>
    <w:unhideWhenUsed/>
  </w:style>
  <w:style w:type="paragraph" w:styleId="1031">
    <w:name w:val="table of figures"/>
    <w:basedOn w:val="868"/>
    <w:next w:val="868"/>
    <w:uiPriority w:val="99"/>
    <w:unhideWhenUsed/>
  </w:style>
  <w:style w:type="paragraph" w:styleId="1032">
    <w:name w:val="Header"/>
    <w:basedOn w:val="868"/>
    <w:link w:val="107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1033">
    <w:name w:val="Footer"/>
    <w:basedOn w:val="868"/>
    <w:link w:val="900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1034">
    <w:name w:val="Hyperlink"/>
    <w:rPr>
      <w:color w:val="0000ff"/>
      <w:u w:val="single"/>
    </w:rPr>
  </w:style>
  <w:style w:type="character" w:styleId="1035">
    <w:name w:val="footnote reference"/>
    <w:semiHidden/>
    <w:rPr>
      <w:vertAlign w:val="superscript"/>
    </w:rPr>
  </w:style>
  <w:style w:type="character" w:styleId="1036">
    <w:name w:val="page number"/>
    <w:rPr>
      <w:rFonts w:ascii="Times New Roman" w:hAnsi="Times New Roman"/>
      <w:sz w:val="20"/>
    </w:rPr>
  </w:style>
  <w:style w:type="paragraph" w:styleId="1037">
    <w:name w:val="toc 1"/>
    <w:basedOn w:val="868"/>
    <w:next w:val="868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1038">
    <w:name w:val="toc 2"/>
    <w:basedOn w:val="868"/>
    <w:next w:val="868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1039">
    <w:name w:val="toc 3"/>
    <w:basedOn w:val="868"/>
    <w:next w:val="868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1040">
    <w:name w:val="toc 4"/>
    <w:basedOn w:val="868"/>
    <w:next w:val="868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41">
    <w:name w:val="FollowedHyperlink"/>
    <w:rPr>
      <w:color w:val="800080"/>
      <w:u w:val="single"/>
    </w:rPr>
  </w:style>
  <w:style w:type="paragraph" w:styleId="1042">
    <w:name w:val="Document Map"/>
    <w:basedOn w:val="868"/>
    <w:semiHidden/>
    <w:pPr>
      <w:shd w:val="clear" w:color="auto" w:fill="000080"/>
    </w:pPr>
    <w:rPr>
      <w:rFonts w:ascii="Tahoma" w:hAnsi="Tahoma"/>
      <w:sz w:val="20"/>
    </w:rPr>
  </w:style>
  <w:style w:type="paragraph" w:styleId="1043" w:customStyle="1">
    <w:name w:val="Таблица шапка"/>
    <w:basedOn w:val="868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1044">
    <w:name w:val="footnote text"/>
    <w:basedOn w:val="868"/>
    <w:link w:val="1026"/>
    <w:semiHidden/>
    <w:pPr>
      <w:spacing w:line="240" w:lineRule="auto"/>
    </w:pPr>
    <w:rPr>
      <w:sz w:val="20"/>
    </w:rPr>
  </w:style>
  <w:style w:type="paragraph" w:styleId="1045" w:customStyle="1">
    <w:name w:val="Таблица текст"/>
    <w:basedOn w:val="868"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1046">
    <w:name w:val="Caption"/>
    <w:basedOn w:val="868"/>
    <w:next w:val="868"/>
    <w:link w:val="865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1047">
    <w:name w:val="toc 5"/>
    <w:basedOn w:val="868"/>
    <w:next w:val="868"/>
    <w:semiHidden/>
    <w:pPr>
      <w:ind w:left="1120"/>
      <w:jc w:val="left"/>
    </w:pPr>
    <w:rPr>
      <w:sz w:val="18"/>
      <w:szCs w:val="18"/>
    </w:rPr>
  </w:style>
  <w:style w:type="paragraph" w:styleId="1048">
    <w:name w:val="toc 6"/>
    <w:basedOn w:val="868"/>
    <w:next w:val="868"/>
    <w:semiHidden/>
    <w:pPr>
      <w:ind w:left="1400"/>
      <w:jc w:val="left"/>
    </w:pPr>
    <w:rPr>
      <w:sz w:val="18"/>
      <w:szCs w:val="18"/>
    </w:rPr>
  </w:style>
  <w:style w:type="paragraph" w:styleId="1049">
    <w:name w:val="toc 7"/>
    <w:basedOn w:val="868"/>
    <w:next w:val="868"/>
    <w:semiHidden/>
    <w:pPr>
      <w:ind w:left="1680"/>
      <w:jc w:val="left"/>
    </w:pPr>
    <w:rPr>
      <w:sz w:val="18"/>
      <w:szCs w:val="18"/>
    </w:rPr>
  </w:style>
  <w:style w:type="paragraph" w:styleId="1050">
    <w:name w:val="toc 8"/>
    <w:basedOn w:val="868"/>
    <w:next w:val="868"/>
    <w:semiHidden/>
    <w:pPr>
      <w:ind w:left="1960"/>
      <w:jc w:val="left"/>
    </w:pPr>
    <w:rPr>
      <w:sz w:val="18"/>
      <w:szCs w:val="18"/>
    </w:rPr>
  </w:style>
  <w:style w:type="paragraph" w:styleId="1051">
    <w:name w:val="toc 9"/>
    <w:basedOn w:val="868"/>
    <w:next w:val="868"/>
    <w:semiHidden/>
    <w:pPr>
      <w:ind w:left="2240"/>
      <w:jc w:val="left"/>
    </w:pPr>
    <w:rPr>
      <w:sz w:val="18"/>
      <w:szCs w:val="18"/>
    </w:rPr>
  </w:style>
  <w:style w:type="paragraph" w:styleId="1052" w:customStyle="1">
    <w:name w:val="Служебный"/>
    <w:basedOn w:val="1053"/>
  </w:style>
  <w:style w:type="paragraph" w:styleId="1053" w:customStyle="1">
    <w:name w:val="Главы"/>
    <w:basedOn w:val="1054"/>
    <w:next w:val="868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1054" w:customStyle="1">
    <w:name w:val="Структура"/>
    <w:basedOn w:val="868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055" w:customStyle="1">
    <w:name w:val="маркированный"/>
    <w:basedOn w:val="868"/>
    <w:semiHidden/>
    <w:pPr>
      <w:ind w:firstLine="0"/>
    </w:pPr>
  </w:style>
  <w:style w:type="paragraph" w:styleId="1056" w:customStyle="1">
    <w:name w:val="Пункт"/>
    <w:basedOn w:val="868"/>
    <w:pPr>
      <w:numPr>
        <w:ilvl w:val="2"/>
        <w:numId w:val="4"/>
      </w:numPr>
    </w:pPr>
  </w:style>
  <w:style w:type="character" w:styleId="1057" w:customStyle="1">
    <w:name w:val="Пункт Знак"/>
    <w:rPr>
      <w:sz w:val="28"/>
      <w:lang w:val="ru-RU" w:eastAsia="ru-RU" w:bidi="ar-SA"/>
    </w:rPr>
  </w:style>
  <w:style w:type="paragraph" w:styleId="1058" w:customStyle="1">
    <w:name w:val="Подпункт"/>
    <w:basedOn w:val="868"/>
    <w:pPr>
      <w:numPr>
        <w:ilvl w:val="3"/>
        <w:numId w:val="4"/>
      </w:numPr>
    </w:pPr>
  </w:style>
  <w:style w:type="character" w:styleId="1059" w:customStyle="1">
    <w:name w:val="комментарий"/>
    <w:rPr>
      <w:b/>
      <w:i/>
      <w:shd w:val="clear" w:color="auto" w:fill="ffff99"/>
    </w:rPr>
  </w:style>
  <w:style w:type="paragraph" w:styleId="1060" w:customStyle="1">
    <w:name w:val="Пункт-2"/>
    <w:basedOn w:val="1056"/>
    <w:pPr>
      <w:keepNext/>
      <w:outlineLvl w:val="2"/>
    </w:pPr>
    <w:rPr>
      <w:b/>
    </w:rPr>
  </w:style>
  <w:style w:type="paragraph" w:styleId="1061" w:customStyle="1">
    <w:name w:val="Подподпункт"/>
    <w:basedOn w:val="868"/>
    <w:pPr>
      <w:ind w:left="1701" w:hanging="567"/>
      <w:tabs>
        <w:tab w:val="num" w:pos="1701" w:leader="none"/>
      </w:tabs>
    </w:pPr>
  </w:style>
  <w:style w:type="paragraph" w:styleId="1062">
    <w:name w:val="List Number"/>
    <w:basedOn w:val="868"/>
    <w:pPr>
      <w:ind w:firstLine="0"/>
      <w:spacing w:before="60"/>
    </w:pPr>
    <w:rPr>
      <w:szCs w:val="24"/>
    </w:rPr>
  </w:style>
  <w:style w:type="paragraph" w:styleId="1063" w:customStyle="1">
    <w:name w:val="Текст таблицы"/>
    <w:basedOn w:val="868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64" w:customStyle="1">
    <w:name w:val="Пункт б/н"/>
    <w:basedOn w:val="868"/>
    <w:pPr>
      <w:tabs>
        <w:tab w:val="left" w:pos="1134" w:leader="none"/>
      </w:tabs>
    </w:pPr>
  </w:style>
  <w:style w:type="paragraph" w:styleId="1065">
    <w:name w:val="List Bullet"/>
    <w:basedOn w:val="868"/>
    <w:pPr>
      <w:ind w:firstLine="0"/>
    </w:pPr>
  </w:style>
  <w:style w:type="paragraph" w:styleId="1066">
    <w:name w:val="Body Text"/>
    <w:basedOn w:val="868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1067">
    <w:name w:val="Balloon Text"/>
    <w:basedOn w:val="868"/>
    <w:semiHidden/>
    <w:rPr>
      <w:rFonts w:ascii="Tahoma" w:hAnsi="Tahoma" w:cs="Tahoma"/>
      <w:sz w:val="16"/>
      <w:szCs w:val="16"/>
    </w:rPr>
  </w:style>
  <w:style w:type="paragraph" w:styleId="1068">
    <w:name w:val="annotation text"/>
    <w:basedOn w:val="868"/>
    <w:semiHidden/>
    <w:rPr>
      <w:sz w:val="20"/>
    </w:rPr>
  </w:style>
  <w:style w:type="paragraph" w:styleId="1069">
    <w:name w:val="annotation subject"/>
    <w:basedOn w:val="1068"/>
    <w:next w:val="1068"/>
    <w:semiHidden/>
    <w:rPr>
      <w:b/>
      <w:bCs/>
    </w:rPr>
  </w:style>
  <w:style w:type="paragraph" w:styleId="1070" w:customStyle="1">
    <w:name w:val="Знак"/>
    <w:basedOn w:val="868"/>
    <w:pPr>
      <w:ind w:left="432" w:hanging="432"/>
      <w:spacing w:before="120" w:after="160" w:line="240" w:lineRule="auto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071">
    <w:name w:val="Title"/>
    <w:basedOn w:val="868"/>
    <w:link w:val="1072"/>
    <w:qFormat/>
    <w:pPr>
      <w:ind w:firstLine="0"/>
      <w:jc w:val="center"/>
      <w:spacing w:line="240" w:lineRule="auto"/>
    </w:pPr>
    <w:rPr>
      <w:i/>
      <w:iCs/>
      <w:sz w:val="24"/>
      <w:szCs w:val="24"/>
    </w:rPr>
  </w:style>
  <w:style w:type="character" w:styleId="1072" w:customStyle="1">
    <w:name w:val="Заголовок Знак"/>
    <w:link w:val="1071"/>
    <w:rPr>
      <w:i/>
      <w:iCs/>
      <w:sz w:val="24"/>
      <w:szCs w:val="24"/>
    </w:rPr>
  </w:style>
  <w:style w:type="character" w:styleId="1073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1074">
    <w:name w:val="Table Grid"/>
    <w:basedOn w:val="87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5">
    <w:name w:val="List Paragraph"/>
    <w:basedOn w:val="868"/>
    <w:link w:val="1080"/>
    <w:uiPriority w:val="34"/>
    <w:qFormat/>
    <w:pPr>
      <w:contextualSpacing/>
      <w:ind w:left="720" w:firstLine="0"/>
      <w:jc w:val="left"/>
      <w:spacing w:line="240" w:lineRule="auto"/>
      <w:widowControl w:val="off"/>
    </w:pPr>
    <w:rPr>
      <w:sz w:val="24"/>
      <w:szCs w:val="24"/>
    </w:rPr>
  </w:style>
  <w:style w:type="character" w:styleId="1076" w:customStyle="1">
    <w:name w:val="Верхний колонтитул Знак"/>
    <w:link w:val="1032"/>
    <w:uiPriority w:val="99"/>
    <w:rPr>
      <w:i/>
    </w:rPr>
  </w:style>
  <w:style w:type="paragraph" w:styleId="1077" w:customStyle="1">
    <w:name w:val="Style12"/>
    <w:basedOn w:val="868"/>
    <w:pPr>
      <w:ind w:firstLine="691"/>
      <w:spacing w:line="317" w:lineRule="exact"/>
      <w:widowControl w:val="off"/>
    </w:pPr>
    <w:rPr>
      <w:sz w:val="24"/>
      <w:szCs w:val="24"/>
    </w:rPr>
  </w:style>
  <w:style w:type="character" w:styleId="1078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styleId="1079" w:customStyle="1">
    <w:name w:val="a1"/>
    <w:basedOn w:val="868"/>
    <w:pPr>
      <w:spacing w:line="240" w:lineRule="auto"/>
    </w:pPr>
    <w:rPr>
      <w:rFonts w:eastAsia="Calibri"/>
      <w:szCs w:val="28"/>
    </w:rPr>
  </w:style>
  <w:style w:type="character" w:styleId="1080" w:customStyle="1">
    <w:name w:val="Абзац списка Знак"/>
    <w:link w:val="1075"/>
    <w:uiPriority w:val="34"/>
    <w:qFormat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://www.zakupki.gov.ru" TargetMode="External"/><Relationship Id="rId17" Type="http://schemas.openxmlformats.org/officeDocument/2006/relationships/hyperlink" Target="http://www.tektorg.ru" TargetMode="External"/><Relationship Id="rId18" Type="http://schemas.openxmlformats.org/officeDocument/2006/relationships/hyperlink" Target="http://www.interrao-zakupki.ru" TargetMode="External"/><Relationship Id="rId19" Type="http://schemas.openxmlformats.org/officeDocument/2006/relationships/hyperlink" Target="http://www.interrao-zakupk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9DC2F-3FCE-4E67-BBB9-3B0BF23E0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ООО "ИНТЕР РАО ЕЭС ФИНАНС"</Company>
  <DocSecurity>0</DocSecurity>
  <HyperlinksChanged>false</HyperlinksChanged>
  <LinksUpToDate>false</LinksUpToDate>
  <Manager>ОАО РАО "ЕЭС России"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sgibnev_eo</cp:lastModifiedBy>
  <cp:revision>47</cp:revision>
  <dcterms:created xsi:type="dcterms:W3CDTF">2015-06-03T11:24:00Z</dcterms:created>
  <dcterms:modified xsi:type="dcterms:W3CDTF">2026-04-30T09:06:25Z</dcterms:modified>
</cp:coreProperties>
</file>